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0E" w:rsidRDefault="00D71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84E0E" w:rsidRDefault="00D71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386" w:type="dxa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Бизнес-информатика </w:t>
            </w:r>
          </w:p>
        </w:tc>
      </w:tr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484E0E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84E0E">
        <w:tc>
          <w:tcPr>
            <w:tcW w:w="2978" w:type="dxa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</w:t>
            </w:r>
            <w:r>
              <w:rPr>
                <w:sz w:val="24"/>
                <w:szCs w:val="24"/>
              </w:rPr>
              <w:t>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484E0E">
        <w:tc>
          <w:tcPr>
            <w:tcW w:w="10490" w:type="dxa"/>
            <w:gridSpan w:val="3"/>
            <w:shd w:val="clear" w:color="auto" w:fill="auto"/>
            <w:vAlign w:val="center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</w:t>
            </w:r>
            <w:r>
              <w:rPr>
                <w:sz w:val="24"/>
                <w:szCs w:val="24"/>
              </w:rPr>
              <w:t>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84E0E" w:rsidRDefault="00D71A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484E0E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</w:t>
            </w:r>
            <w:r>
              <w:rPr>
                <w:sz w:val="24"/>
                <w:szCs w:val="24"/>
              </w:rPr>
              <w:t>рофессиональные компетенции.</w:t>
            </w:r>
          </w:p>
        </w:tc>
      </w:tr>
      <w:tr w:rsidR="00484E0E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аналитической, </w:t>
            </w:r>
          </w:p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  <w:p w:rsidR="00484E0E" w:rsidRDefault="00D71A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научно-исследовательской.</w:t>
            </w:r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484E0E">
        <w:tc>
          <w:tcPr>
            <w:tcW w:w="10490" w:type="dxa"/>
            <w:gridSpan w:val="3"/>
            <w:shd w:val="clear" w:color="auto" w:fill="FFFFFF" w:themeFill="background1"/>
          </w:tcPr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</w:t>
            </w:r>
            <w:proofErr w:type="spellStart"/>
            <w:r>
              <w:rPr>
                <w:b/>
                <w:i/>
                <w:sz w:val="24"/>
                <w:szCs w:val="24"/>
              </w:rPr>
              <w:t>УрГЭУ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84E0E">
        <w:tc>
          <w:tcPr>
            <w:tcW w:w="10490" w:type="dxa"/>
            <w:gridSpan w:val="3"/>
            <w:shd w:val="clear" w:color="auto" w:fill="FFFFFF" w:themeFill="background1"/>
          </w:tcPr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hyperlink r:id="rId6">
              <w:r>
                <w:rPr>
                  <w:rStyle w:val="ListLabel82"/>
                </w:rPr>
                <w:t>http://www.usue.ru/studentam/perechen-tem-vypusknyh-kvalifikacionnyh-rabot/</w:t>
              </w:r>
            </w:hyperlink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484E0E">
        <w:tc>
          <w:tcPr>
            <w:tcW w:w="10490" w:type="dxa"/>
            <w:gridSpan w:val="3"/>
            <w:shd w:val="clear" w:color="auto" w:fill="auto"/>
          </w:tcPr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484E0E" w:rsidRDefault="00D71AB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Астапчук, В. А. </w:t>
            </w:r>
            <w:r>
              <w:rPr>
                <w:bCs/>
              </w:rPr>
              <w:t>Архитектура</w:t>
            </w:r>
            <w:r>
              <w:t> корпорат</w:t>
            </w:r>
            <w:r>
              <w:t>ивных информационных систем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t>Новосиб</w:t>
            </w:r>
            <w:proofErr w:type="spellEnd"/>
            <w:r>
              <w:t xml:space="preserve">. гос. </w:t>
            </w:r>
            <w:proofErr w:type="spellStart"/>
            <w:r>
              <w:t>техн</w:t>
            </w:r>
            <w:proofErr w:type="spellEnd"/>
            <w:r>
              <w:t xml:space="preserve">. ун-т. -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 (НГТУ), 2015. - </w:t>
            </w:r>
            <w:r>
              <w:t>75 с. </w:t>
            </w:r>
            <w:hyperlink r:id="rId7">
              <w:r>
                <w:rPr>
                  <w:rStyle w:val="-"/>
                  <w:i/>
                  <w:iCs/>
                  <w:color w:val="auto"/>
                </w:rPr>
                <w:t>http://znanium.com/go.php?id=546624</w:t>
              </w:r>
            </w:hyperlink>
          </w:p>
          <w:p w:rsidR="00484E0E" w:rsidRDefault="00D71AB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Одинцов, Б. Е. Информационные системы управления эффективностью бизнеса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</w:t>
            </w:r>
            <w:r>
              <w:t xml:space="preserve">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- 206 с. 3экз.</w:t>
            </w:r>
          </w:p>
          <w:p w:rsidR="00484E0E" w:rsidRDefault="00D71AB8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Назаров, Д. М. Интеллектуальные системы: основы теории нечетких множеств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академического </w:t>
            </w:r>
            <w:proofErr w:type="spellStart"/>
            <w:r>
              <w:t>бакалаврита</w:t>
            </w:r>
            <w:proofErr w:type="spellEnd"/>
            <w:r>
              <w:t xml:space="preserve">: для студентов вузов / Д. М. Назаров, Л. К. Конышева. - 3-е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2019. - 186 с. https://www.biblio-online.ru/bcode/423214</w:t>
            </w: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84E0E" w:rsidRDefault="00D71AB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Олейник, А. И. </w:t>
            </w:r>
            <w:r>
              <w:t>ИТ-инфраструктура [Текст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А. И. Олейник, А. В. </w:t>
            </w:r>
            <w:proofErr w:type="spellStart"/>
            <w:r>
              <w:t>Сизов</w:t>
            </w:r>
            <w:proofErr w:type="spellEnd"/>
            <w:r>
              <w:t xml:space="preserve"> ;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 xml:space="preserve">. экономики - Нац. </w:t>
            </w:r>
            <w:proofErr w:type="spellStart"/>
            <w:r>
              <w:t>исслед</w:t>
            </w:r>
            <w:proofErr w:type="spellEnd"/>
            <w:r>
              <w:t>. ун-т. - Москва : Издательский дом Высшей школы экономики, 2012. - 134 с. 5экз.</w:t>
            </w:r>
          </w:p>
          <w:p w:rsidR="00484E0E" w:rsidRDefault="00D71AB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kern w:val="2"/>
              </w:rPr>
              <w:t>Паклин, Н. Б. Бизнес-аналитика: от данных к знаниям [Те</w:t>
            </w:r>
            <w:r>
              <w:rPr>
                <w:kern w:val="2"/>
              </w:rPr>
              <w:t>кст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учебное пособие / Н. Паклин, В. Орешков. - 2-е изд., </w:t>
            </w:r>
            <w:proofErr w:type="spellStart"/>
            <w:r>
              <w:rPr>
                <w:kern w:val="2"/>
              </w:rPr>
              <w:t>испр</w:t>
            </w:r>
            <w:proofErr w:type="spellEnd"/>
            <w:r>
              <w:rPr>
                <w:kern w:val="2"/>
              </w:rPr>
              <w:t>. - Санкт-Петербург [и др.</w:t>
            </w:r>
            <w:proofErr w:type="gramStart"/>
            <w:r>
              <w:rPr>
                <w:kern w:val="2"/>
              </w:rPr>
              <w:t>] :</w:t>
            </w:r>
            <w:proofErr w:type="gramEnd"/>
            <w:r>
              <w:rPr>
                <w:kern w:val="2"/>
              </w:rPr>
              <w:t xml:space="preserve"> Питер, 2013. - 701 с. 7экз.</w:t>
            </w:r>
          </w:p>
          <w:p w:rsidR="00484E0E" w:rsidRDefault="00D71AB8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Минина, Т. Б. Организация научно-исследовательской работы студентов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Т. Б. Минина, И. Д. </w:t>
            </w:r>
            <w:proofErr w:type="spellStart"/>
            <w:r>
              <w:t>Возмилов</w:t>
            </w:r>
            <w:proofErr w:type="spellEnd"/>
            <w:r>
              <w:t xml:space="preserve"> ; М-во об</w:t>
            </w:r>
            <w:r>
              <w:t xml:space="preserve">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lastRenderedPageBreak/>
              <w:t>Екатеринбург :</w:t>
            </w:r>
            <w:proofErr w:type="gramEnd"/>
            <w:r>
              <w:t xml:space="preserve"> [Издательство </w:t>
            </w:r>
            <w:proofErr w:type="spellStart"/>
            <w:r>
              <w:t>УрГЭУ</w:t>
            </w:r>
            <w:proofErr w:type="spellEnd"/>
            <w:r>
              <w:t>], 2018. - 93 с. http://lib.usue.ru/resource/limit/ump/18/p490910.pdf</w:t>
            </w:r>
          </w:p>
          <w:p w:rsidR="00484E0E" w:rsidRDefault="00484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</w:t>
            </w:r>
            <w:r>
              <w:rPr>
                <w:b/>
                <w:sz w:val="24"/>
                <w:szCs w:val="24"/>
              </w:rPr>
              <w:t>в том числе приспособленные для использования инвалидами и лицами с ограниченными возможностями здоровья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color w:val="auto"/>
                  <w:sz w:val="24"/>
                  <w:szCs w:val="24"/>
                </w:rPr>
                <w:t>http://archive.ne</w:t>
              </w:r>
              <w:r>
                <w:rPr>
                  <w:rStyle w:val="-"/>
                  <w:color w:val="auto"/>
                  <w:sz w:val="24"/>
                  <w:szCs w:val="24"/>
                </w:rPr>
                <w:t>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bookmarkStart w:id="0" w:name="__DdeLink__1090_2153303774"/>
            <w:r>
              <w:rPr>
                <w:rStyle w:val="-"/>
                <w:color w:val="auto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auto"/>
                <w:sz w:val="24"/>
                <w:szCs w:val="24"/>
              </w:rPr>
              <w:t>КиберЛенинка</w:t>
            </w:r>
            <w:proofErr w:type="spellEnd"/>
            <w:r>
              <w:rPr>
                <w:rStyle w:val="-"/>
                <w:color w:val="auto"/>
                <w:sz w:val="24"/>
                <w:szCs w:val="24"/>
              </w:rPr>
              <w:t xml:space="preserve"> (http://cyberleninka.ru)</w:t>
            </w:r>
            <w:bookmarkEnd w:id="0"/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</w:t>
            </w:r>
            <w:r>
              <w:rPr>
                <w:b/>
                <w:i/>
                <w:sz w:val="24"/>
                <w:szCs w:val="24"/>
              </w:rPr>
              <w:t>ональных стандартов</w:t>
            </w:r>
          </w:p>
        </w:tc>
      </w:tr>
      <w:tr w:rsidR="00484E0E">
        <w:tc>
          <w:tcPr>
            <w:tcW w:w="10490" w:type="dxa"/>
            <w:gridSpan w:val="3"/>
            <w:shd w:val="clear" w:color="auto" w:fill="auto"/>
          </w:tcPr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484E0E">
        <w:tc>
          <w:tcPr>
            <w:tcW w:w="10490" w:type="dxa"/>
            <w:gridSpan w:val="3"/>
            <w:shd w:val="clear" w:color="auto" w:fill="E7E6E6" w:themeFill="background2"/>
          </w:tcPr>
          <w:p w:rsidR="00484E0E" w:rsidRDefault="00D71A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484E0E">
        <w:tc>
          <w:tcPr>
            <w:tcW w:w="10490" w:type="dxa"/>
            <w:gridSpan w:val="3"/>
            <w:shd w:val="clear" w:color="auto" w:fill="auto"/>
          </w:tcPr>
          <w:p w:rsidR="00484E0E" w:rsidRDefault="00D71A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84E0E" w:rsidRDefault="00D71AB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84E0E" w:rsidRDefault="00D71AB8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</w:tc>
      </w:tr>
      <w:tr w:rsidR="00484E0E">
        <w:tc>
          <w:tcPr>
            <w:tcW w:w="10490" w:type="dxa"/>
            <w:gridSpan w:val="3"/>
            <w:shd w:val="clear" w:color="auto" w:fill="auto"/>
          </w:tcPr>
          <w:p w:rsidR="00484E0E" w:rsidRDefault="00D71A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</w:t>
            </w:r>
            <w:r>
              <w:rPr>
                <w:b/>
                <w:sz w:val="24"/>
                <w:szCs w:val="24"/>
              </w:rPr>
              <w:t xml:space="preserve"> информационно-телекоммуникационной сети «Интернет»:</w:t>
            </w:r>
          </w:p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84E0E" w:rsidRDefault="00D7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Онлайн сканер.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Журнал «Мир ПК».  Режим досту</w:t>
            </w:r>
            <w:r>
              <w:rPr>
                <w:sz w:val="24"/>
                <w:szCs w:val="24"/>
              </w:rPr>
              <w:t xml:space="preserve">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484E0E" w:rsidRDefault="00D71AB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</w:t>
            </w:r>
            <w:r>
              <w:rPr>
                <w:sz w:val="24"/>
                <w:szCs w:val="24"/>
              </w:rPr>
              <w:t xml:space="preserve">оступа: </w:t>
            </w:r>
            <w:hyperlink r:id="rId26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484E0E" w:rsidRDefault="00D71AB8">
            <w:pPr>
              <w:ind w:left="27"/>
              <w:rPr>
                <w:sz w:val="24"/>
                <w:szCs w:val="24"/>
              </w:rPr>
            </w:pPr>
            <w:bookmarkStart w:id="1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484E0E">
        <w:tc>
          <w:tcPr>
            <w:tcW w:w="10490" w:type="dxa"/>
            <w:gridSpan w:val="3"/>
            <w:shd w:val="clear" w:color="auto" w:fill="auto"/>
          </w:tcPr>
          <w:p w:rsidR="00484E0E" w:rsidRDefault="00D71AB8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484E0E" w:rsidRDefault="00D71AB8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rFonts w:eastAsia="Arial Unicode MS"/>
              </w:rPr>
              <w:t xml:space="preserve">Для </w:t>
            </w:r>
            <w:r>
              <w:rPr>
                <w:rFonts w:eastAsia="Arial Unicode MS"/>
              </w:rPr>
              <w:t>проведения защиты требуется аудитория и мультимедийное оборудование с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84E0E" w:rsidRDefault="00484E0E">
      <w:pPr>
        <w:ind w:left="-284"/>
        <w:rPr>
          <w:sz w:val="20"/>
        </w:rPr>
      </w:pPr>
    </w:p>
    <w:p w:rsidR="00484E0E" w:rsidRDefault="00D71AB8">
      <w:pPr>
        <w:ind w:left="-284"/>
        <w:rPr>
          <w:sz w:val="20"/>
        </w:rPr>
      </w:pPr>
      <w:r>
        <w:rPr>
          <w:sz w:val="24"/>
          <w:szCs w:val="24"/>
        </w:rPr>
        <w:t xml:space="preserve">Аннотацию подготовил                         </w:t>
      </w:r>
      <w:r>
        <w:rPr>
          <w:sz w:val="24"/>
          <w:szCs w:val="24"/>
        </w:rPr>
        <w:t xml:space="preserve">                               __________________     </w:t>
      </w:r>
      <w:bookmarkStart w:id="2" w:name="_GoBack"/>
      <w:bookmarkEnd w:id="2"/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 xml:space="preserve"> Бегичева С.В.</w:t>
      </w:r>
      <w:r>
        <w:rPr>
          <w:sz w:val="20"/>
        </w:rPr>
        <w:t xml:space="preserve">                                                                                                                 </w:t>
      </w:r>
    </w:p>
    <w:p w:rsidR="00484E0E" w:rsidRDefault="00484E0E">
      <w:pPr>
        <w:ind w:left="-284"/>
      </w:pPr>
    </w:p>
    <w:sectPr w:rsidR="00484E0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806"/>
    <w:multiLevelType w:val="multilevel"/>
    <w:tmpl w:val="EB1E8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5C02"/>
    <w:multiLevelType w:val="multilevel"/>
    <w:tmpl w:val="068474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5FC"/>
    <w:multiLevelType w:val="multilevel"/>
    <w:tmpl w:val="ED125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0E"/>
    <w:rsid w:val="00484E0E"/>
    <w:rsid w:val="00D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0377"/>
  <w15:docId w15:val="{8A785B79-73FF-4A75-9C03-D33D66D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473C20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 w:val="0"/>
    </w:rPr>
  </w:style>
  <w:style w:type="character" w:customStyle="1" w:styleId="ListLabel82">
    <w:name w:val="ListLabel 82"/>
    <w:qFormat/>
    <w:rPr>
      <w:color w:val="0000FF"/>
      <w:sz w:val="24"/>
      <w:szCs w:val="24"/>
      <w:u w:val="single"/>
    </w:rPr>
  </w:style>
  <w:style w:type="character" w:customStyle="1" w:styleId="ListLabel83">
    <w:name w:val="ListLabel 83"/>
    <w:qFormat/>
    <w:rPr>
      <w:i/>
      <w:iCs/>
      <w:color w:val="auto"/>
    </w:rPr>
  </w:style>
  <w:style w:type="character" w:customStyle="1" w:styleId="ListLabel84">
    <w:name w:val="ListLabel 84"/>
    <w:qFormat/>
    <w:rPr>
      <w:color w:val="auto"/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26" Type="http://schemas.openxmlformats.org/officeDocument/2006/relationships/hyperlink" Target="http://office.microsoft.com/ru-ru/sup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ruslist.com/" TargetMode="External"/><Relationship Id="rId7" Type="http://schemas.openxmlformats.org/officeDocument/2006/relationships/hyperlink" Target="http://znanium.com/go.php?id=546624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5" Type="http://schemas.openxmlformats.org/officeDocument/2006/relationships/hyperlink" Target="http://www.microsoft.com/ru-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scrf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hyperlink" Target="http://www.osp.ru/pcwor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hyperlink" Target="http://www.cpres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www.minsvy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kaspersky.ru/virusscan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4513-F3A4-4A24-9E42-FD86CD8C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62</cp:revision>
  <cp:lastPrinted>2019-06-07T10:40:00Z</cp:lastPrinted>
  <dcterms:created xsi:type="dcterms:W3CDTF">2019-03-11T10:18:00Z</dcterms:created>
  <dcterms:modified xsi:type="dcterms:W3CDTF">2020-04-01T10:00:00Z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